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56" w:rsidRPr="00C417D6" w:rsidRDefault="00215156" w:rsidP="00215156">
      <w:pPr>
        <w:jc w:val="right"/>
        <w:rPr>
          <w:rFonts w:ascii="ae_AlBattar" w:hAnsi="ae_AlBattar" w:cs="ae_AlBattar"/>
          <w:b/>
          <w:bCs/>
          <w:sz w:val="28"/>
          <w:szCs w:val="28"/>
          <w:rtl/>
          <w:lang w:bidi="ar-TN"/>
        </w:rPr>
      </w:pPr>
      <w:r w:rsidRPr="00C417D6">
        <w:rPr>
          <w:rFonts w:ascii="ae_AlBattar" w:hAnsi="ae_AlBattar" w:cs="ae_AlBattar" w:hint="cs"/>
          <w:b/>
          <w:bCs/>
          <w:noProof/>
          <w:sz w:val="28"/>
          <w:szCs w:val="28"/>
          <w:rtl/>
        </w:rPr>
        <w:drawing>
          <wp:anchor distT="0" distB="0" distL="114300" distR="114300" simplePos="0" relativeHeight="251659264" behindDoc="1" locked="0" layoutInCell="1" allowOverlap="1" wp14:anchorId="7D881D52" wp14:editId="69D9BE76">
            <wp:simplePos x="0" y="0"/>
            <wp:positionH relativeFrom="column">
              <wp:posOffset>3174492</wp:posOffset>
            </wp:positionH>
            <wp:positionV relativeFrom="paragraph">
              <wp:posOffset>120142</wp:posOffset>
            </wp:positionV>
            <wp:extent cx="907542" cy="1243584"/>
            <wp:effectExtent l="19050" t="0" r="0" b="0"/>
            <wp:wrapNone/>
            <wp:docPr id="3" name="Image 1" descr="Afficher l'image d'origine"/>
            <wp:cNvGraphicFramePr/>
            <a:graphic xmlns:a="http://schemas.openxmlformats.org/drawingml/2006/main">
              <a:graphicData uri="http://schemas.openxmlformats.org/drawingml/2006/picture">
                <pic:pic xmlns:pic="http://schemas.openxmlformats.org/drawingml/2006/picture">
                  <pic:nvPicPr>
                    <pic:cNvPr id="5" name="Picture 2" descr="Afficher l'image d'origine"/>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l="27296" r="26569"/>
                    <a:stretch>
                      <a:fillRect/>
                    </a:stretch>
                  </pic:blipFill>
                  <pic:spPr bwMode="auto">
                    <a:xfrm>
                      <a:off x="0" y="0"/>
                      <a:ext cx="907542" cy="124358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C417D6">
        <w:rPr>
          <w:rFonts w:ascii="ae_AlBattar" w:hAnsi="ae_AlBattar" w:cs="ae_AlBattar" w:hint="cs"/>
          <w:b/>
          <w:bCs/>
          <w:sz w:val="28"/>
          <w:szCs w:val="28"/>
          <w:rtl/>
          <w:lang w:bidi="ar-TN"/>
        </w:rPr>
        <w:t xml:space="preserve">     </w:t>
      </w:r>
      <w:r w:rsidRPr="00C417D6">
        <w:rPr>
          <w:rFonts w:ascii="ae_AlBattar" w:hAnsi="ae_AlBattar" w:cs="ae_AlBattar"/>
          <w:b/>
          <w:bCs/>
          <w:sz w:val="28"/>
          <w:szCs w:val="28"/>
          <w:rtl/>
          <w:lang w:bidi="ar-TN"/>
        </w:rPr>
        <w:t xml:space="preserve">الجمهورية </w:t>
      </w:r>
      <w:proofErr w:type="gramStart"/>
      <w:r w:rsidRPr="00C417D6">
        <w:rPr>
          <w:rFonts w:ascii="ae_AlBattar" w:hAnsi="ae_AlBattar" w:cs="ae_AlBattar"/>
          <w:b/>
          <w:bCs/>
          <w:sz w:val="28"/>
          <w:szCs w:val="28"/>
          <w:rtl/>
          <w:lang w:bidi="ar-TN"/>
        </w:rPr>
        <w:t>التونسية</w:t>
      </w:r>
      <w:r w:rsidRPr="00C417D6">
        <w:rPr>
          <w:rFonts w:ascii="ae_AlBattar" w:hAnsi="ae_AlBattar" w:cs="ae_AlBattar" w:hint="cs"/>
          <w:b/>
          <w:bCs/>
          <w:sz w:val="28"/>
          <w:szCs w:val="28"/>
          <w:rtl/>
          <w:lang w:bidi="ar-TN"/>
        </w:rPr>
        <w:t xml:space="preserve">  </w:t>
      </w:r>
      <w:proofErr w:type="gramEnd"/>
    </w:p>
    <w:p w:rsidR="00215156" w:rsidRPr="00C417D6" w:rsidRDefault="00215156" w:rsidP="00215156">
      <w:pPr>
        <w:jc w:val="right"/>
        <w:rPr>
          <w:rFonts w:ascii="ae_AlBattar" w:hAnsi="ae_AlBattar" w:cs="ae_AlBattar"/>
          <w:b/>
          <w:bCs/>
          <w:sz w:val="28"/>
          <w:szCs w:val="28"/>
          <w:rtl/>
          <w:lang w:bidi="ar-TN"/>
        </w:rPr>
      </w:pPr>
      <w:r w:rsidRPr="00C417D6">
        <w:rPr>
          <w:rFonts w:ascii="ae_AlBattar" w:hAnsi="ae_AlBattar" w:cs="ae_AlBattar"/>
          <w:b/>
          <w:bCs/>
          <w:sz w:val="28"/>
          <w:szCs w:val="28"/>
          <w:rtl/>
          <w:lang w:bidi="ar-TN"/>
        </w:rPr>
        <w:t xml:space="preserve">وزارة </w:t>
      </w:r>
      <w:r w:rsidRPr="00C417D6">
        <w:rPr>
          <w:rFonts w:ascii="ae_AlBattar" w:hAnsi="ae_AlBattar" w:cs="ae_AlBattar" w:hint="cs"/>
          <w:b/>
          <w:bCs/>
          <w:sz w:val="28"/>
          <w:szCs w:val="28"/>
          <w:rtl/>
          <w:lang w:bidi="ar-TN"/>
        </w:rPr>
        <w:t xml:space="preserve">الشؤون المحلية </w:t>
      </w:r>
      <w:proofErr w:type="gramStart"/>
      <w:r w:rsidRPr="00C417D6">
        <w:rPr>
          <w:rFonts w:ascii="ae_AlBattar" w:hAnsi="ae_AlBattar" w:cs="ae_AlBattar" w:hint="cs"/>
          <w:b/>
          <w:bCs/>
          <w:sz w:val="28"/>
          <w:szCs w:val="28"/>
          <w:rtl/>
          <w:lang w:bidi="ar-TN"/>
        </w:rPr>
        <w:t xml:space="preserve">والبيئة                     </w:t>
      </w:r>
      <w:r>
        <w:rPr>
          <w:rFonts w:ascii="ae_AlBattar" w:hAnsi="ae_AlBattar" w:cs="ae_AlBattar" w:hint="cs"/>
          <w:b/>
          <w:bCs/>
          <w:sz w:val="28"/>
          <w:szCs w:val="28"/>
          <w:rtl/>
          <w:lang w:bidi="ar-TN"/>
        </w:rPr>
        <w:t xml:space="preserve">             </w:t>
      </w:r>
      <w:r w:rsidRPr="00C417D6">
        <w:rPr>
          <w:rFonts w:ascii="ae_AlBattar" w:hAnsi="ae_AlBattar" w:cs="ae_AlBattar" w:hint="cs"/>
          <w:b/>
          <w:bCs/>
          <w:sz w:val="28"/>
          <w:szCs w:val="28"/>
          <w:rtl/>
          <w:lang w:bidi="ar-TN"/>
        </w:rPr>
        <w:t xml:space="preserve">                    </w:t>
      </w:r>
      <w:r w:rsidRPr="00C417D6">
        <w:rPr>
          <w:rFonts w:asciiTheme="majorBidi" w:hAnsiTheme="majorBidi" w:cstheme="majorBidi" w:hint="cs"/>
          <w:sz w:val="4"/>
          <w:szCs w:val="4"/>
          <w:rtl/>
          <w:lang w:bidi="ar-TN"/>
        </w:rPr>
        <w:t>.</w:t>
      </w:r>
      <w:proofErr w:type="gramEnd"/>
      <w:r w:rsidRPr="00C417D6">
        <w:rPr>
          <w:rFonts w:asciiTheme="majorBidi" w:hAnsiTheme="majorBidi" w:cstheme="majorBidi" w:hint="cs"/>
          <w:sz w:val="4"/>
          <w:szCs w:val="4"/>
          <w:rtl/>
          <w:lang w:bidi="ar-TN"/>
        </w:rPr>
        <w:t>.</w:t>
      </w:r>
    </w:p>
    <w:p w:rsidR="00215156" w:rsidRPr="00C417D6" w:rsidRDefault="00215156" w:rsidP="00215156">
      <w:pPr>
        <w:jc w:val="right"/>
        <w:rPr>
          <w:rFonts w:ascii="ae_AlBattar" w:hAnsi="ae_AlBattar" w:cs="ae_AlBattar"/>
          <w:b/>
          <w:bCs/>
          <w:sz w:val="28"/>
          <w:szCs w:val="28"/>
          <w:rtl/>
          <w:lang w:bidi="ar-TN"/>
        </w:rPr>
      </w:pPr>
      <w:r w:rsidRPr="00C417D6">
        <w:rPr>
          <w:rFonts w:ascii="ae_AlBattar" w:hAnsi="ae_AlBattar" w:cs="ae_AlBattar" w:hint="cs"/>
          <w:b/>
          <w:bCs/>
          <w:sz w:val="28"/>
          <w:szCs w:val="28"/>
          <w:rtl/>
          <w:lang w:bidi="ar-TN"/>
        </w:rPr>
        <w:t xml:space="preserve">          ولاية زغوان      </w:t>
      </w:r>
    </w:p>
    <w:p w:rsidR="00215156" w:rsidRPr="00C417D6" w:rsidRDefault="00215156" w:rsidP="00215156">
      <w:pPr>
        <w:jc w:val="right"/>
        <w:rPr>
          <w:rFonts w:ascii="ae_AlBattar" w:hAnsi="ae_AlBattar" w:cs="ae_AlBattar"/>
          <w:b/>
          <w:bCs/>
          <w:sz w:val="28"/>
          <w:szCs w:val="28"/>
          <w:rtl/>
          <w:lang w:bidi="ar-TN"/>
        </w:rPr>
      </w:pPr>
      <w:r w:rsidRPr="00C417D6">
        <w:rPr>
          <w:rFonts w:ascii="ae_AlBattar" w:hAnsi="ae_AlBattar" w:cs="ae_AlBattar" w:hint="cs"/>
          <w:b/>
          <w:bCs/>
          <w:sz w:val="28"/>
          <w:szCs w:val="28"/>
          <w:rtl/>
          <w:lang w:bidi="ar-TN"/>
        </w:rPr>
        <w:t xml:space="preserve">        </w:t>
      </w:r>
      <w:r w:rsidRPr="00C417D6">
        <w:rPr>
          <w:rFonts w:ascii="ae_AlBattar" w:hAnsi="ae_AlBattar" w:cs="ae_AlBattar"/>
          <w:b/>
          <w:bCs/>
          <w:sz w:val="28"/>
          <w:szCs w:val="28"/>
          <w:rtl/>
          <w:lang w:bidi="ar-TN"/>
        </w:rPr>
        <w:t>بلديــــة</w:t>
      </w:r>
      <w:r w:rsidRPr="00C417D6">
        <w:rPr>
          <w:rFonts w:ascii="ae_AlBattar" w:hAnsi="ae_AlBattar" w:cs="ae_AlBattar" w:hint="cs"/>
          <w:b/>
          <w:bCs/>
          <w:sz w:val="28"/>
          <w:szCs w:val="28"/>
          <w:rtl/>
          <w:lang w:bidi="ar-TN"/>
        </w:rPr>
        <w:t xml:space="preserve"> الزريبة</w:t>
      </w:r>
    </w:p>
    <w:p w:rsidR="00215156" w:rsidRDefault="00215156" w:rsidP="00065663">
      <w:pPr>
        <w:pStyle w:val="Titre2"/>
        <w:bidi/>
        <w:jc w:val="center"/>
        <w:rPr>
          <w:color w:val="333333"/>
        </w:rPr>
      </w:pPr>
    </w:p>
    <w:p w:rsidR="00215156" w:rsidRDefault="00A231D6" w:rsidP="00215156">
      <w:pPr>
        <w:pStyle w:val="Titre2"/>
        <w:bidi/>
        <w:jc w:val="center"/>
        <w:rPr>
          <w:rFonts w:cs="AdvertisingExtraBold"/>
          <w:color w:val="333333"/>
        </w:rPr>
      </w:pPr>
      <w:r w:rsidRPr="00215156">
        <w:rPr>
          <w:rFonts w:cs="AdvertisingExtraBold"/>
          <w:color w:val="333333"/>
          <w:rtl/>
        </w:rPr>
        <w:t>دليل مبسّط لطالب النفاذ إلى المعلومة</w:t>
      </w:r>
    </w:p>
    <w:p w:rsidR="00A231D6" w:rsidRPr="00215156" w:rsidRDefault="00A231D6" w:rsidP="00215156">
      <w:pPr>
        <w:pStyle w:val="Titre2"/>
        <w:bidi/>
        <w:jc w:val="center"/>
        <w:rPr>
          <w:rFonts w:cs="AdvertisingExtraBold"/>
          <w:color w:val="333333"/>
        </w:rPr>
      </w:pPr>
      <w:bookmarkStart w:id="0" w:name="_GoBack"/>
      <w:bookmarkEnd w:id="0"/>
      <w:r w:rsidRPr="00215156">
        <w:rPr>
          <w:rFonts w:cs="AdvertisingExtraBold"/>
          <w:color w:val="333333"/>
          <w:rtl/>
        </w:rPr>
        <w:t xml:space="preserve"> </w:t>
      </w:r>
      <w:proofErr w:type="gramStart"/>
      <w:r w:rsidRPr="00215156">
        <w:rPr>
          <w:rFonts w:cs="AdvertisingExtraBold"/>
          <w:color w:val="333333"/>
          <w:rtl/>
        </w:rPr>
        <w:t>ب</w:t>
      </w:r>
      <w:r w:rsidR="00065663" w:rsidRPr="00215156">
        <w:rPr>
          <w:rFonts w:cs="AdvertisingExtraBold" w:hint="cs"/>
          <w:color w:val="333333"/>
          <w:rtl/>
        </w:rPr>
        <w:t>بلدية</w:t>
      </w:r>
      <w:proofErr w:type="gramEnd"/>
      <w:r w:rsidR="00065663" w:rsidRPr="00215156">
        <w:rPr>
          <w:rFonts w:cs="AdvertisingExtraBold" w:hint="cs"/>
          <w:color w:val="333333"/>
          <w:rtl/>
        </w:rPr>
        <w:t xml:space="preserve"> الزريبة</w:t>
      </w:r>
    </w:p>
    <w:p w:rsidR="00A231D6" w:rsidRPr="00215156" w:rsidRDefault="00A231D6" w:rsidP="00065663">
      <w:pPr>
        <w:shd w:val="clear" w:color="auto" w:fill="FBFBFB"/>
        <w:bidi/>
        <w:spacing w:after="188" w:line="240" w:lineRule="auto"/>
        <w:jc w:val="both"/>
        <w:rPr>
          <w:rFonts w:ascii="Times New Roman" w:eastAsia="Times New Roman" w:hAnsi="Times New Roman" w:cs="Times New Roman"/>
          <w:color w:val="333333"/>
          <w:lang w:eastAsia="fr-FR"/>
        </w:rPr>
      </w:pPr>
      <w:r w:rsidRPr="00A231D6">
        <w:rPr>
          <w:rFonts w:ascii="Times New Roman" w:eastAsia="Times New Roman" w:hAnsi="Times New Roman" w:cs="Times New Roman"/>
          <w:color w:val="333333"/>
          <w:sz w:val="20"/>
          <w:szCs w:val="20"/>
          <w:lang w:eastAsia="fr-FR"/>
        </w:rPr>
        <w:t> </w:t>
      </w:r>
    </w:p>
    <w:p w:rsidR="00065663" w:rsidRPr="0042782D" w:rsidRDefault="00065663" w:rsidP="00065663">
      <w:pPr>
        <w:pStyle w:val="Titre5"/>
        <w:bidi/>
        <w:jc w:val="center"/>
        <w:rPr>
          <w:rFonts w:eastAsia="Times New Roman"/>
          <w:b/>
          <w:bCs/>
          <w:color w:val="FF0000"/>
          <w:sz w:val="24"/>
          <w:szCs w:val="24"/>
        </w:rPr>
      </w:pPr>
      <w:r w:rsidRPr="0042782D">
        <w:rPr>
          <w:rFonts w:eastAsia="Times New Roman"/>
          <w:b/>
          <w:bCs/>
          <w:color w:val="FF0000"/>
          <w:sz w:val="28"/>
          <w:szCs w:val="28"/>
          <w:rtl/>
        </w:rPr>
        <w:t>(</w:t>
      </w:r>
      <w:proofErr w:type="gramStart"/>
      <w:r w:rsidRPr="0042782D">
        <w:rPr>
          <w:rFonts w:eastAsia="Times New Roman"/>
          <w:b/>
          <w:bCs/>
          <w:color w:val="FF0000"/>
          <w:sz w:val="28"/>
          <w:szCs w:val="28"/>
          <w:u w:val="single"/>
          <w:rtl/>
        </w:rPr>
        <w:t>المرجع</w:t>
      </w:r>
      <w:proofErr w:type="gramEnd"/>
      <w:r w:rsidRPr="0042782D">
        <w:rPr>
          <w:rFonts w:eastAsia="Times New Roman"/>
          <w:b/>
          <w:bCs/>
          <w:color w:val="FF0000"/>
          <w:sz w:val="28"/>
          <w:szCs w:val="28"/>
          <w:rtl/>
        </w:rPr>
        <w:t> : القانون الأساسي عدد 22 لسنة 2016 المؤرخ في 24 مارس 2016 المتعلق بالحق في النفاذ إلى المعلومة)</w:t>
      </w:r>
    </w:p>
    <w:p w:rsidR="00065663" w:rsidRPr="00215156" w:rsidRDefault="00065663" w:rsidP="00065663">
      <w:pPr>
        <w:shd w:val="clear" w:color="auto" w:fill="FBFBFB"/>
        <w:bidi/>
        <w:spacing w:after="188" w:line="240" w:lineRule="auto"/>
        <w:jc w:val="both"/>
        <w:rPr>
          <w:rFonts w:ascii="Times New Roman" w:eastAsia="Times New Roman" w:hAnsi="Times New Roman" w:cs="Times New Roman"/>
          <w:color w:val="333333"/>
          <w:rtl/>
          <w:lang w:eastAsia="fr-FR"/>
        </w:rPr>
      </w:pP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b/>
          <w:bCs/>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xml:space="preserve">وصف </w:t>
      </w:r>
      <w:proofErr w:type="gramStart"/>
      <w:r w:rsidRPr="00215156">
        <w:rPr>
          <w:rFonts w:ascii="Times New Roman" w:eastAsia="Times New Roman" w:hAnsi="Times New Roman" w:cs="Times New Roman"/>
          <w:b/>
          <w:bCs/>
          <w:color w:val="333333"/>
          <w:sz w:val="28"/>
          <w:szCs w:val="28"/>
          <w:rtl/>
          <w:lang w:eastAsia="fr-FR"/>
        </w:rPr>
        <w:t>مفصّل</w:t>
      </w:r>
      <w:proofErr w:type="gramEnd"/>
      <w:r w:rsidRPr="00215156">
        <w:rPr>
          <w:rFonts w:ascii="Times New Roman" w:eastAsia="Times New Roman" w:hAnsi="Times New Roman" w:cs="Times New Roman"/>
          <w:b/>
          <w:bCs/>
          <w:color w:val="333333"/>
          <w:sz w:val="28"/>
          <w:szCs w:val="28"/>
          <w:rtl/>
          <w:lang w:eastAsia="fr-FR"/>
        </w:rPr>
        <w:t xml:space="preserve"> للإجراء</w:t>
      </w: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يتقدّم طالب النفاذ إلى المعلومة (شخص طبيعي أو معنوي) بمطلب كتابي، وفقا للأنموذج الموضوع بموقع </w:t>
      </w:r>
      <w:proofErr w:type="spellStart"/>
      <w:r w:rsidRPr="00215156">
        <w:rPr>
          <w:rFonts w:ascii="Times New Roman" w:eastAsia="Times New Roman" w:hAnsi="Times New Roman" w:cs="Times New Roman"/>
          <w:color w:val="333333"/>
          <w:sz w:val="28"/>
          <w:szCs w:val="28"/>
          <w:rtl/>
          <w:lang w:eastAsia="fr-FR"/>
        </w:rPr>
        <w:t>الواب</w:t>
      </w:r>
      <w:proofErr w:type="spellEnd"/>
      <w:r w:rsidRPr="00215156">
        <w:rPr>
          <w:rFonts w:ascii="Times New Roman" w:eastAsia="Times New Roman" w:hAnsi="Times New Roman" w:cs="Times New Roman"/>
          <w:color w:val="333333"/>
          <w:sz w:val="28"/>
          <w:szCs w:val="28"/>
          <w:rtl/>
          <w:lang w:eastAsia="fr-FR"/>
        </w:rPr>
        <w:t xml:space="preserve"> أو على ورق عادي </w:t>
      </w:r>
      <w:r w:rsidRPr="00215156">
        <w:rPr>
          <w:rFonts w:ascii="Times New Roman" w:eastAsia="Times New Roman" w:hAnsi="Times New Roman" w:cs="Times New Roman"/>
          <w:b/>
          <w:bCs/>
          <w:color w:val="333333"/>
          <w:sz w:val="28"/>
          <w:szCs w:val="28"/>
          <w:rtl/>
          <w:lang w:eastAsia="fr-FR"/>
        </w:rPr>
        <w:t xml:space="preserve">يتضمن وجوبا </w:t>
      </w:r>
      <w:proofErr w:type="spellStart"/>
      <w:r w:rsidRPr="00215156">
        <w:rPr>
          <w:rFonts w:ascii="Times New Roman" w:eastAsia="Times New Roman" w:hAnsi="Times New Roman" w:cs="Times New Roman"/>
          <w:b/>
          <w:bCs/>
          <w:color w:val="333333"/>
          <w:sz w:val="28"/>
          <w:szCs w:val="28"/>
          <w:rtl/>
          <w:lang w:eastAsia="fr-FR"/>
        </w:rPr>
        <w:t>التنصيصات</w:t>
      </w:r>
      <w:proofErr w:type="spellEnd"/>
      <w:r w:rsidRPr="00215156">
        <w:rPr>
          <w:rFonts w:ascii="Times New Roman" w:eastAsia="Times New Roman" w:hAnsi="Times New Roman" w:cs="Times New Roman"/>
          <w:b/>
          <w:bCs/>
          <w:color w:val="333333"/>
          <w:sz w:val="28"/>
          <w:szCs w:val="28"/>
          <w:rtl/>
          <w:lang w:eastAsia="fr-FR"/>
        </w:rPr>
        <w:t xml:space="preserve"> التالية</w:t>
      </w:r>
      <w:r w:rsidRPr="00215156">
        <w:rPr>
          <w:rFonts w:ascii="Times New Roman" w:eastAsia="Times New Roman" w:hAnsi="Times New Roman" w:cs="Times New Roman"/>
          <w:color w:val="333333"/>
          <w:sz w:val="28"/>
          <w:szCs w:val="28"/>
          <w:rtl/>
          <w:lang w:eastAsia="fr-FR"/>
        </w:rPr>
        <w:t> :</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w:t>
      </w:r>
      <w:proofErr w:type="spellStart"/>
      <w:r w:rsidRPr="00215156">
        <w:rPr>
          <w:rFonts w:ascii="Times New Roman" w:eastAsia="Times New Roman" w:hAnsi="Times New Roman" w:cs="Times New Roman"/>
          <w:color w:val="333333"/>
          <w:sz w:val="28"/>
          <w:szCs w:val="28"/>
          <w:rtl/>
          <w:lang w:eastAsia="fr-FR"/>
        </w:rPr>
        <w:t>الإسم</w:t>
      </w:r>
      <w:proofErr w:type="spellEnd"/>
      <w:r w:rsidRPr="00215156">
        <w:rPr>
          <w:rFonts w:ascii="Times New Roman" w:eastAsia="Times New Roman" w:hAnsi="Times New Roman" w:cs="Times New Roman"/>
          <w:color w:val="333333"/>
          <w:sz w:val="28"/>
          <w:szCs w:val="28"/>
          <w:rtl/>
          <w:lang w:eastAsia="fr-FR"/>
        </w:rPr>
        <w:t xml:space="preserve"> واللقب والعنوان بالنسبة إلى الشخص الطبيعي، والتسمية الاجتماعية والمقر بالنسبة إلى الشخص المعنوي، بالإضافة إلى التوضيحات اللازمة بالنسبة إلى المعلومة المطلوبة والهيكل المعني. </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تحديد كيفية النفاذ إلى المعلومة وفق الصيغ </w:t>
      </w:r>
      <w:proofErr w:type="gramStart"/>
      <w:r w:rsidRPr="00215156">
        <w:rPr>
          <w:rFonts w:ascii="Times New Roman" w:eastAsia="Times New Roman" w:hAnsi="Times New Roman" w:cs="Times New Roman"/>
          <w:color w:val="333333"/>
          <w:sz w:val="28"/>
          <w:szCs w:val="28"/>
          <w:rtl/>
          <w:lang w:eastAsia="fr-FR"/>
        </w:rPr>
        <w:t>التالية :</w:t>
      </w:r>
      <w:proofErr w:type="gramEnd"/>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الاطلاع على المعلومة على عين المكان، ما لم يكن في ذلك إضرار بها،</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الحصول على نسخة ورقية من المعلومة،</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الحصول على نسخة إلكترونية من المعلومة، عند الإمكان،</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الحصول على مقتطفات من المعلومة.</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w:t>
      </w:r>
      <w:proofErr w:type="gramStart"/>
      <w:r w:rsidRPr="00215156">
        <w:rPr>
          <w:rFonts w:ascii="Times New Roman" w:eastAsia="Times New Roman" w:hAnsi="Times New Roman" w:cs="Times New Roman"/>
          <w:color w:val="333333"/>
          <w:sz w:val="28"/>
          <w:szCs w:val="28"/>
          <w:rtl/>
          <w:lang w:eastAsia="fr-FR"/>
        </w:rPr>
        <w:t>لا</w:t>
      </w:r>
      <w:proofErr w:type="gramEnd"/>
      <w:r w:rsidRPr="00215156">
        <w:rPr>
          <w:rFonts w:ascii="Times New Roman" w:eastAsia="Times New Roman" w:hAnsi="Times New Roman" w:cs="Times New Roman"/>
          <w:color w:val="333333"/>
          <w:sz w:val="28"/>
          <w:szCs w:val="28"/>
          <w:rtl/>
          <w:lang w:eastAsia="fr-FR"/>
        </w:rPr>
        <w:t xml:space="preserve"> يلزم طالب النفاذ بذكر الأسباب أو المصلحة من الحصول على المعلومة ضمن مطلب النفاذ.</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 </w:t>
      </w:r>
      <w:proofErr w:type="gramStart"/>
      <w:r w:rsidRPr="00215156">
        <w:rPr>
          <w:rFonts w:ascii="Times New Roman" w:eastAsia="Times New Roman" w:hAnsi="Times New Roman" w:cs="Times New Roman"/>
          <w:color w:val="333333"/>
          <w:sz w:val="28"/>
          <w:szCs w:val="28"/>
          <w:rtl/>
          <w:lang w:eastAsia="fr-FR"/>
        </w:rPr>
        <w:t>يتم</w:t>
      </w:r>
      <w:proofErr w:type="gramEnd"/>
      <w:r w:rsidRPr="00215156">
        <w:rPr>
          <w:rFonts w:ascii="Times New Roman" w:eastAsia="Times New Roman" w:hAnsi="Times New Roman" w:cs="Times New Roman"/>
          <w:color w:val="333333"/>
          <w:sz w:val="28"/>
          <w:szCs w:val="28"/>
          <w:rtl/>
          <w:lang w:eastAsia="fr-FR"/>
        </w:rPr>
        <w:t xml:space="preserve"> إيداع مطلب النفاذ إما مباشرة لدى الهيكل المعني مقابل وصل يسلم وجوبا في الغرض أو عن طريق البريد مضمون الوصول أو الفاكس أو البريد الإلكتروني مع الإعلام بالبلوغ.</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w:t>
      </w:r>
      <w:proofErr w:type="gramStart"/>
      <w:r w:rsidRPr="00215156">
        <w:rPr>
          <w:rFonts w:ascii="Times New Roman" w:eastAsia="Times New Roman" w:hAnsi="Times New Roman" w:cs="Times New Roman"/>
          <w:color w:val="333333"/>
          <w:sz w:val="28"/>
          <w:szCs w:val="28"/>
          <w:rtl/>
          <w:lang w:eastAsia="fr-FR"/>
        </w:rPr>
        <w:t>يتولّى</w:t>
      </w:r>
      <w:proofErr w:type="gramEnd"/>
      <w:r w:rsidRPr="00215156">
        <w:rPr>
          <w:rFonts w:ascii="Times New Roman" w:eastAsia="Times New Roman" w:hAnsi="Times New Roman" w:cs="Times New Roman"/>
          <w:color w:val="333333"/>
          <w:sz w:val="28"/>
          <w:szCs w:val="28"/>
          <w:rtl/>
          <w:lang w:eastAsia="fr-FR"/>
        </w:rPr>
        <w:t xml:space="preserve"> المكلّف بالنفاذ تقديم المساعدة اللازمة لطالب النّفاذ إلى المعلومة في حالة العجز أو عدم القدرة على القراءة والكتابة أو كذلك عندما يكون طالب النفاذ فاقدا لحاسة السمع والبصر.</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u w:val="single"/>
          <w:rtl/>
          <w:lang w:eastAsia="fr-FR"/>
        </w:rPr>
        <w:t>ملاحظة</w:t>
      </w:r>
      <w:r w:rsidRPr="00215156">
        <w:rPr>
          <w:rFonts w:ascii="Times New Roman" w:eastAsia="Times New Roman" w:hAnsi="Times New Roman" w:cs="Times New Roman"/>
          <w:b/>
          <w:bCs/>
          <w:color w:val="333333"/>
          <w:sz w:val="28"/>
          <w:szCs w:val="28"/>
          <w:rtl/>
          <w:lang w:eastAsia="fr-FR"/>
        </w:rPr>
        <w:t>:</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xml:space="preserve">- </w:t>
      </w:r>
      <w:proofErr w:type="gramStart"/>
      <w:r w:rsidRPr="00215156">
        <w:rPr>
          <w:rFonts w:ascii="Times New Roman" w:eastAsia="Times New Roman" w:hAnsi="Times New Roman" w:cs="Times New Roman"/>
          <w:b/>
          <w:bCs/>
          <w:color w:val="333333"/>
          <w:sz w:val="28"/>
          <w:szCs w:val="28"/>
          <w:rtl/>
          <w:lang w:eastAsia="fr-FR"/>
        </w:rPr>
        <w:t>لا</w:t>
      </w:r>
      <w:proofErr w:type="gramEnd"/>
      <w:r w:rsidRPr="00215156">
        <w:rPr>
          <w:rFonts w:ascii="Times New Roman" w:eastAsia="Times New Roman" w:hAnsi="Times New Roman" w:cs="Times New Roman"/>
          <w:b/>
          <w:bCs/>
          <w:color w:val="333333"/>
          <w:sz w:val="28"/>
          <w:szCs w:val="28"/>
          <w:rtl/>
          <w:lang w:eastAsia="fr-FR"/>
        </w:rPr>
        <w:t xml:space="preserve"> يشمل النفاذ إلى المعلومة البيانات المتعلقة بهويّة الأشخاص الذين قدموا معلومات بهدف الإبلاغ عن تجاوزات أو حالات فساد.</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proofErr w:type="gramStart"/>
      <w:r w:rsidRPr="00215156">
        <w:rPr>
          <w:rFonts w:ascii="Times New Roman" w:eastAsia="Times New Roman" w:hAnsi="Times New Roman" w:cs="Times New Roman"/>
          <w:color w:val="333333"/>
          <w:sz w:val="28"/>
          <w:szCs w:val="28"/>
          <w:rtl/>
          <w:lang w:eastAsia="fr-FR"/>
        </w:rPr>
        <w:t>إذا</w:t>
      </w:r>
      <w:proofErr w:type="gramEnd"/>
      <w:r w:rsidRPr="00215156">
        <w:rPr>
          <w:rFonts w:ascii="Times New Roman" w:eastAsia="Times New Roman" w:hAnsi="Times New Roman" w:cs="Times New Roman"/>
          <w:color w:val="333333"/>
          <w:sz w:val="28"/>
          <w:szCs w:val="28"/>
          <w:rtl/>
          <w:lang w:eastAsia="fr-FR"/>
        </w:rPr>
        <w:t xml:space="preserve"> لم يتضمّن مطلب النفاذ البيانات المنصوص عليها بالإجراء عدد 01 من هذا الدليل، يتولى المكلّف بالنّفاذ إلى المعلومة إبلاغ طالب النفاذ بأيّ وسيلة تترك أثرا كتابيا في أجل لا يتجاوز خمسة عشر يوما (15) من تاريخ توصّله بالمطلب.</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t>يكون</w:t>
      </w:r>
      <w:proofErr w:type="gramEnd"/>
      <w:r w:rsidRPr="00215156">
        <w:rPr>
          <w:rFonts w:ascii="Times New Roman" w:eastAsia="Times New Roman" w:hAnsi="Times New Roman" w:cs="Times New Roman"/>
          <w:color w:val="333333"/>
          <w:sz w:val="28"/>
          <w:szCs w:val="28"/>
          <w:rtl/>
          <w:lang w:eastAsia="fr-FR"/>
        </w:rPr>
        <w:t xml:space="preserve"> الرد على مطلب النفاذ في أجل أقصاه عشرين (20) يوما من تاريخ توصّل الهيكل المعني بالنفاذ بالمطلب أو من تاريخ تصحيحه.</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إذا تعلق طلب النفاذ بالاطلاع على المعلومة على عين المكان، على الهيكل المعني الردّ على ذلك في أجل أقصاه عشرة (10) أيام من تاريخ توصّله بالمطلب أو من تاريخ تصحيحه .</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يمكن التمديد في الآجال المذكورة (20 يوما أو 20 يوما + 10 أيام بالنسبة إلى الاطلاع على المعلومة على عين المكان) بعشرة (10) أيام إذا تعلّق الأمر بالحصول أو الاطلاع على عدة معلومات لدى نفس الهيكل، مع إعلام طالب النفاذ بذلك.</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proofErr w:type="gramStart"/>
      <w:r w:rsidRPr="00215156">
        <w:rPr>
          <w:rFonts w:ascii="Times New Roman" w:eastAsia="Times New Roman" w:hAnsi="Times New Roman" w:cs="Times New Roman"/>
          <w:color w:val="333333"/>
          <w:sz w:val="28"/>
          <w:szCs w:val="28"/>
          <w:rtl/>
          <w:lang w:eastAsia="fr-FR"/>
        </w:rPr>
        <w:t>إذا</w:t>
      </w:r>
      <w:proofErr w:type="gramEnd"/>
      <w:r w:rsidRPr="00215156">
        <w:rPr>
          <w:rFonts w:ascii="Times New Roman" w:eastAsia="Times New Roman" w:hAnsi="Times New Roman" w:cs="Times New Roman"/>
          <w:color w:val="333333"/>
          <w:sz w:val="28"/>
          <w:szCs w:val="28"/>
          <w:rtl/>
          <w:lang w:eastAsia="fr-FR"/>
        </w:rPr>
        <w:t xml:space="preserve"> كان الردّ بالرفض، يجب أن يكون قرار الرفض كتابيا ومعلّلا مع التنصيص على آجال وطرق الطعن والهياكل المختصة بالنظر فيه وفق أحكام الفصلين 30 و31 من القانون الأساسي عدد 22 لسنة 2016 المؤرخ في 24 مارس 2016 المتعلق بالحق في النفاذ إلى المعلومة.</w:t>
      </w: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r w:rsidRPr="00215156">
        <w:rPr>
          <w:rFonts w:ascii="Times New Roman" w:eastAsia="Times New Roman" w:hAnsi="Times New Roman" w:cs="Times New Roman"/>
          <w:color w:val="333333"/>
          <w:sz w:val="28"/>
          <w:szCs w:val="28"/>
          <w:rtl/>
          <w:lang w:eastAsia="fr-FR"/>
        </w:rPr>
        <w:t>إذا كان لمطلب النفاذ إلى المعلومة تأثير على حياة شخص أو على حريته، يتعين على الهيكل المعني الحرص على الرد بما يترك أثرا كتابيا وبصفة فورية على أن لا يتجاوز ذلك أجل ثمان وأربعين (48) ساعة من تاريخ تقديم المطلب وتعليل الرفض وفقا لأحكام الفقرة الثالثة من الفصل 14 من القانون الأساسي عدد 22 لسنة 2016.</w:t>
      </w: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proofErr w:type="gramStart"/>
      <w:r w:rsidRPr="00215156">
        <w:rPr>
          <w:rFonts w:ascii="Times New Roman" w:eastAsia="Times New Roman" w:hAnsi="Times New Roman" w:cs="Times New Roman"/>
          <w:color w:val="333333"/>
          <w:sz w:val="28"/>
          <w:szCs w:val="28"/>
          <w:rtl/>
          <w:lang w:eastAsia="fr-FR"/>
        </w:rPr>
        <w:t>لا</w:t>
      </w:r>
      <w:proofErr w:type="gramEnd"/>
      <w:r w:rsidRPr="00215156">
        <w:rPr>
          <w:rFonts w:ascii="Times New Roman" w:eastAsia="Times New Roman" w:hAnsi="Times New Roman" w:cs="Times New Roman"/>
          <w:color w:val="333333"/>
          <w:sz w:val="28"/>
          <w:szCs w:val="28"/>
          <w:rtl/>
          <w:lang w:eastAsia="fr-FR"/>
        </w:rPr>
        <w:t xml:space="preserve"> يكون الهيكل المعني ملزما بالردّ على طالب النفاذ أكثر من مرّة واحدة في صورة تكرار مطالبه المتصلة بنفس المعلومة دون موجب.</w:t>
      </w: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proofErr w:type="gramStart"/>
      <w:r w:rsidRPr="00215156">
        <w:rPr>
          <w:rFonts w:ascii="Times New Roman" w:eastAsia="Times New Roman" w:hAnsi="Times New Roman" w:cs="Times New Roman"/>
          <w:color w:val="333333"/>
          <w:sz w:val="28"/>
          <w:szCs w:val="28"/>
          <w:rtl/>
          <w:lang w:eastAsia="fr-FR"/>
        </w:rPr>
        <w:t>في</w:t>
      </w:r>
      <w:proofErr w:type="gramEnd"/>
      <w:r w:rsidRPr="00215156">
        <w:rPr>
          <w:rFonts w:ascii="Times New Roman" w:eastAsia="Times New Roman" w:hAnsi="Times New Roman" w:cs="Times New Roman"/>
          <w:color w:val="333333"/>
          <w:sz w:val="28"/>
          <w:szCs w:val="28"/>
          <w:rtl/>
          <w:lang w:eastAsia="fr-FR"/>
        </w:rPr>
        <w:t xml:space="preserve"> صورة توفّر المعلومة موضوع المطلب لدى هيكل غير الهيكل الذي تم إيداع مطلب النفاذ لديه، يتعيّن على المكلف بالنفاذ إعلام طالب النفاذ بعدم الاختصاص أو بإحالة مطلبه على الهيكل المعني، وذلك في أجل أقصاه خمسة (5) أيام من تاريخ توصّله بالمطلب.</w:t>
      </w:r>
    </w:p>
    <w:p w:rsidR="00065663" w:rsidRPr="00215156" w:rsidRDefault="002C074A"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r w:rsidRPr="00215156">
        <w:rPr>
          <w:rFonts w:ascii="Times New Roman" w:eastAsia="Times New Roman" w:hAnsi="Times New Roman" w:cs="Times New Roman"/>
          <w:color w:val="333333"/>
          <w:sz w:val="28"/>
          <w:szCs w:val="28"/>
          <w:rtl/>
          <w:lang w:eastAsia="fr-FR" w:bidi="ar-TN"/>
        </w:rPr>
        <w:br/>
      </w:r>
      <w:proofErr w:type="gramStart"/>
      <w:r w:rsidRPr="00215156">
        <w:rPr>
          <w:rFonts w:ascii="Times New Roman" w:eastAsia="Times New Roman" w:hAnsi="Times New Roman" w:cs="Times New Roman" w:hint="cs"/>
          <w:color w:val="333333"/>
          <w:sz w:val="28"/>
          <w:szCs w:val="28"/>
          <w:rtl/>
          <w:lang w:eastAsia="fr-FR" w:bidi="ar-TN"/>
        </w:rPr>
        <w:t>إ</w:t>
      </w:r>
      <w:r w:rsidR="00065663" w:rsidRPr="00215156">
        <w:rPr>
          <w:rFonts w:ascii="Times New Roman" w:eastAsia="Times New Roman" w:hAnsi="Times New Roman" w:cs="Times New Roman"/>
          <w:color w:val="333333"/>
          <w:sz w:val="28"/>
          <w:szCs w:val="28"/>
          <w:rtl/>
          <w:lang w:eastAsia="fr-FR"/>
        </w:rPr>
        <w:t>ذا</w:t>
      </w:r>
      <w:proofErr w:type="gramEnd"/>
      <w:r w:rsidR="00065663" w:rsidRPr="00215156">
        <w:rPr>
          <w:rFonts w:ascii="Times New Roman" w:eastAsia="Times New Roman" w:hAnsi="Times New Roman" w:cs="Times New Roman"/>
          <w:color w:val="333333"/>
          <w:sz w:val="28"/>
          <w:szCs w:val="28"/>
          <w:rtl/>
          <w:lang w:eastAsia="fr-FR"/>
        </w:rPr>
        <w:t xml:space="preserve"> تعلّق مطلب النفاذ بمعلومة سبق للهيكل المعني نشرها، يتعيّن على المكلف بالنفاذ إعلام الطالب بذلك وتحديد الموقع الذي تمّ فيه النشر.</w:t>
      </w:r>
    </w:p>
    <w:p w:rsidR="00065663" w:rsidRPr="00215156" w:rsidRDefault="00065663" w:rsidP="002C074A">
      <w:pPr>
        <w:pStyle w:val="Paragraphedeliste"/>
        <w:numPr>
          <w:ilvl w:val="0"/>
          <w:numId w:val="1"/>
        </w:numPr>
        <w:bidi/>
        <w:spacing w:after="120" w:line="375" w:lineRule="atLeast"/>
        <w:jc w:val="both"/>
        <w:rPr>
          <w:rFonts w:ascii="Times New Roman" w:eastAsia="Times New Roman" w:hAnsi="Times New Roman" w:cs="Times New Roman"/>
          <w:color w:val="333333"/>
          <w:sz w:val="28"/>
          <w:szCs w:val="28"/>
          <w:lang w:eastAsia="fr-FR"/>
        </w:rPr>
      </w:pPr>
      <w:proofErr w:type="gramStart"/>
      <w:r w:rsidRPr="00215156">
        <w:rPr>
          <w:rFonts w:ascii="Times New Roman" w:eastAsia="Times New Roman" w:hAnsi="Times New Roman" w:cs="Times New Roman"/>
          <w:color w:val="333333"/>
          <w:sz w:val="28"/>
          <w:szCs w:val="28"/>
          <w:rtl/>
          <w:lang w:eastAsia="fr-FR"/>
        </w:rPr>
        <w:t>إذا</w:t>
      </w:r>
      <w:proofErr w:type="gramEnd"/>
      <w:r w:rsidRPr="00215156">
        <w:rPr>
          <w:rFonts w:ascii="Times New Roman" w:eastAsia="Times New Roman" w:hAnsi="Times New Roman" w:cs="Times New Roman"/>
          <w:color w:val="333333"/>
          <w:sz w:val="28"/>
          <w:szCs w:val="28"/>
          <w:rtl/>
          <w:lang w:eastAsia="fr-FR"/>
        </w:rPr>
        <w:t xml:space="preserve"> ثبت أن المعلومة التي تحصّل عليها طالب النفاذ منقوصة، فإنه على الهياكل المعنية تمكينه من المعطيات التكميلية والتوضيحات اللازمة.</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w:t>
      </w:r>
      <w:r w:rsidRPr="00215156">
        <w:rPr>
          <w:rFonts w:ascii="Times New Roman" w:eastAsia="Times New Roman" w:hAnsi="Times New Roman" w:cs="Times New Roman"/>
          <w:b/>
          <w:bCs/>
          <w:color w:val="333333"/>
          <w:sz w:val="28"/>
          <w:szCs w:val="28"/>
          <w:u w:val="single"/>
          <w:rtl/>
          <w:lang w:eastAsia="fr-FR"/>
        </w:rPr>
        <w:t xml:space="preserve">بالنسبة </w:t>
      </w:r>
      <w:proofErr w:type="spellStart"/>
      <w:r w:rsidRPr="00215156">
        <w:rPr>
          <w:rFonts w:ascii="Times New Roman" w:eastAsia="Times New Roman" w:hAnsi="Times New Roman" w:cs="Times New Roman"/>
          <w:b/>
          <w:bCs/>
          <w:color w:val="333333"/>
          <w:sz w:val="28"/>
          <w:szCs w:val="28"/>
          <w:u w:val="single"/>
          <w:rtl/>
          <w:lang w:eastAsia="fr-FR"/>
        </w:rPr>
        <w:t>للمعاليم</w:t>
      </w:r>
      <w:proofErr w:type="spellEnd"/>
      <w:r w:rsidRPr="00215156">
        <w:rPr>
          <w:rFonts w:ascii="Times New Roman" w:eastAsia="Times New Roman" w:hAnsi="Times New Roman" w:cs="Times New Roman"/>
          <w:b/>
          <w:bCs/>
          <w:color w:val="333333"/>
          <w:sz w:val="28"/>
          <w:szCs w:val="28"/>
          <w:u w:val="single"/>
          <w:rtl/>
          <w:lang w:eastAsia="fr-FR"/>
        </w:rPr>
        <w:t xml:space="preserve"> المستوجبة</w:t>
      </w:r>
      <w:r w:rsidRPr="00215156">
        <w:rPr>
          <w:rFonts w:ascii="Times New Roman" w:eastAsia="Times New Roman" w:hAnsi="Times New Roman" w:cs="Times New Roman"/>
          <w:b/>
          <w:bCs/>
          <w:color w:val="333333"/>
          <w:sz w:val="28"/>
          <w:szCs w:val="28"/>
          <w:rtl/>
          <w:lang w:eastAsia="fr-FR"/>
        </w:rPr>
        <w:t> :</w:t>
      </w:r>
    </w:p>
    <w:p w:rsidR="00065663" w:rsidRPr="00215156" w:rsidRDefault="00065663" w:rsidP="002C074A">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xml:space="preserve">- </w:t>
      </w:r>
      <w:proofErr w:type="gramStart"/>
      <w:r w:rsidRPr="00215156">
        <w:rPr>
          <w:rFonts w:ascii="Times New Roman" w:eastAsia="Times New Roman" w:hAnsi="Times New Roman" w:cs="Times New Roman"/>
          <w:color w:val="333333"/>
          <w:sz w:val="28"/>
          <w:szCs w:val="28"/>
          <w:rtl/>
          <w:lang w:eastAsia="fr-FR"/>
        </w:rPr>
        <w:t>لكلّ</w:t>
      </w:r>
      <w:proofErr w:type="gramEnd"/>
      <w:r w:rsidRPr="00215156">
        <w:rPr>
          <w:rFonts w:ascii="Times New Roman" w:eastAsia="Times New Roman" w:hAnsi="Times New Roman" w:cs="Times New Roman"/>
          <w:color w:val="333333"/>
          <w:sz w:val="28"/>
          <w:szCs w:val="28"/>
          <w:rtl/>
          <w:lang w:eastAsia="fr-FR"/>
        </w:rPr>
        <w:t xml:space="preserve"> شخص الحق في النفاذ إلى المعلومة بصفة مجانية، وإذا كان توفير المعلومة يقتضي جملة من المصاريف، يتم إعلام صاحب المطلب مسبقا بضرورة دفع مقابل على أن لا يتجاوز ذلك المصاريف الحقيقية التي تحمّلها الهيكل المعني. </w:t>
      </w:r>
      <w:proofErr w:type="gramStart"/>
      <w:r w:rsidRPr="00215156">
        <w:rPr>
          <w:rFonts w:ascii="Times New Roman" w:eastAsia="Times New Roman" w:hAnsi="Times New Roman" w:cs="Times New Roman"/>
          <w:color w:val="333333"/>
          <w:sz w:val="28"/>
          <w:szCs w:val="28"/>
          <w:rtl/>
          <w:lang w:eastAsia="fr-FR"/>
        </w:rPr>
        <w:t>ولا</w:t>
      </w:r>
      <w:proofErr w:type="gramEnd"/>
      <w:r w:rsidRPr="00215156">
        <w:rPr>
          <w:rFonts w:ascii="Times New Roman" w:eastAsia="Times New Roman" w:hAnsi="Times New Roman" w:cs="Times New Roman"/>
          <w:color w:val="333333"/>
          <w:sz w:val="28"/>
          <w:szCs w:val="28"/>
          <w:rtl/>
          <w:lang w:eastAsia="fr-FR"/>
        </w:rPr>
        <w:t xml:space="preserve"> يتم تسليم الوثائق المطلوبة إلاّ عند تسليم ما يفيد دفع ذلك المقابل.</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w:t>
      </w:r>
      <w:r w:rsidRPr="00215156">
        <w:rPr>
          <w:rFonts w:ascii="Times New Roman" w:eastAsia="Times New Roman" w:hAnsi="Times New Roman" w:cs="Times New Roman"/>
          <w:b/>
          <w:bCs/>
          <w:color w:val="333333"/>
          <w:sz w:val="28"/>
          <w:szCs w:val="28"/>
          <w:u w:val="single"/>
          <w:rtl/>
          <w:lang w:eastAsia="fr-FR"/>
        </w:rPr>
        <w:t>إجراءات التظلّم والطعن</w:t>
      </w:r>
      <w:r w:rsidRPr="00215156">
        <w:rPr>
          <w:rFonts w:ascii="Times New Roman" w:eastAsia="Times New Roman" w:hAnsi="Times New Roman" w:cs="Times New Roman"/>
          <w:b/>
          <w:bCs/>
          <w:color w:val="333333"/>
          <w:sz w:val="28"/>
          <w:szCs w:val="28"/>
          <w:rtl/>
          <w:lang w:eastAsia="fr-FR"/>
        </w:rPr>
        <w:t> :</w:t>
      </w:r>
    </w:p>
    <w:p w:rsidR="00065663" w:rsidRPr="00215156" w:rsidRDefault="00065663" w:rsidP="002C074A">
      <w:pPr>
        <w:pStyle w:val="Paragraphedeliste"/>
        <w:numPr>
          <w:ilvl w:val="0"/>
          <w:numId w:val="5"/>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t>يمكن</w:t>
      </w:r>
      <w:proofErr w:type="gramEnd"/>
      <w:r w:rsidRPr="00215156">
        <w:rPr>
          <w:rFonts w:ascii="Times New Roman" w:eastAsia="Times New Roman" w:hAnsi="Times New Roman" w:cs="Times New Roman"/>
          <w:color w:val="333333"/>
          <w:sz w:val="28"/>
          <w:szCs w:val="28"/>
          <w:rtl/>
          <w:lang w:eastAsia="fr-FR"/>
        </w:rPr>
        <w:t xml:space="preserve"> لطالب النفاذ عند رفضه القرار المتخذ بخصوص مطلبه، التظلّم لدى رئيس الهيكل المعني في أجل أقصاه العشرين (20) يوما التي تلي الإعلام بالقرار. </w:t>
      </w:r>
      <w:proofErr w:type="gramStart"/>
      <w:r w:rsidRPr="00215156">
        <w:rPr>
          <w:rFonts w:ascii="Times New Roman" w:eastAsia="Times New Roman" w:hAnsi="Times New Roman" w:cs="Times New Roman"/>
          <w:color w:val="333333"/>
          <w:sz w:val="28"/>
          <w:szCs w:val="28"/>
          <w:rtl/>
          <w:lang w:eastAsia="fr-FR"/>
        </w:rPr>
        <w:t>ويتعيّن</w:t>
      </w:r>
      <w:proofErr w:type="gramEnd"/>
      <w:r w:rsidRPr="00215156">
        <w:rPr>
          <w:rFonts w:ascii="Times New Roman" w:eastAsia="Times New Roman" w:hAnsi="Times New Roman" w:cs="Times New Roman"/>
          <w:color w:val="333333"/>
          <w:sz w:val="28"/>
          <w:szCs w:val="28"/>
          <w:rtl/>
          <w:lang w:eastAsia="fr-FR"/>
        </w:rPr>
        <w:t xml:space="preserve"> على رئيس الهيكل الردّ في أقرب الآجال الممكنة على أن لا يتجاوز ذلك أجلا أقصاه عشرة (10) أيام من تاريخ إيداع مطلب التظلّم. ويعتبر </w:t>
      </w:r>
      <w:proofErr w:type="gramStart"/>
      <w:r w:rsidRPr="00215156">
        <w:rPr>
          <w:rFonts w:ascii="Times New Roman" w:eastAsia="Times New Roman" w:hAnsi="Times New Roman" w:cs="Times New Roman"/>
          <w:color w:val="333333"/>
          <w:sz w:val="28"/>
          <w:szCs w:val="28"/>
          <w:rtl/>
          <w:lang w:eastAsia="fr-FR"/>
        </w:rPr>
        <w:t>عدم</w:t>
      </w:r>
      <w:proofErr w:type="gramEnd"/>
      <w:r w:rsidRPr="00215156">
        <w:rPr>
          <w:rFonts w:ascii="Times New Roman" w:eastAsia="Times New Roman" w:hAnsi="Times New Roman" w:cs="Times New Roman"/>
          <w:color w:val="333333"/>
          <w:sz w:val="28"/>
          <w:szCs w:val="28"/>
          <w:rtl/>
          <w:lang w:eastAsia="fr-FR"/>
        </w:rPr>
        <w:t xml:space="preserve"> رد رئيس الهيكل المعنيّ خلال هذا الأجل، رفضا ضمنيّا. </w:t>
      </w:r>
    </w:p>
    <w:p w:rsidR="00065663" w:rsidRPr="00215156" w:rsidRDefault="00065663" w:rsidP="002C074A">
      <w:pPr>
        <w:pStyle w:val="Paragraphedeliste"/>
        <w:numPr>
          <w:ilvl w:val="0"/>
          <w:numId w:val="5"/>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t>كما</w:t>
      </w:r>
      <w:proofErr w:type="gramEnd"/>
      <w:r w:rsidRPr="00215156">
        <w:rPr>
          <w:rFonts w:ascii="Times New Roman" w:eastAsia="Times New Roman" w:hAnsi="Times New Roman" w:cs="Times New Roman"/>
          <w:color w:val="333333"/>
          <w:sz w:val="28"/>
          <w:szCs w:val="28"/>
          <w:rtl/>
          <w:lang w:eastAsia="fr-FR"/>
        </w:rPr>
        <w:t xml:space="preserve"> يمكن لطالب النفاذ الطعن مباشرة في قرار الهيكل المعني لدى هيئة النفاذ إلى المعلومة.</w:t>
      </w:r>
    </w:p>
    <w:p w:rsidR="00065663" w:rsidRPr="00215156" w:rsidRDefault="00065663" w:rsidP="002C074A">
      <w:pPr>
        <w:pStyle w:val="Paragraphedeliste"/>
        <w:numPr>
          <w:ilvl w:val="0"/>
          <w:numId w:val="5"/>
        </w:num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يمكن لطالب النفاذ إلى المعلومة في حالة رفض مطلب التظلّم من قبل رئيس الهيكل أو عند عدم ردّه خلال أجل عشرة (10) أيام من تاريخ توصّله بالمطلب أن يطعن في هذا القرار لدى هيئة النفاذ إلى المعلومة وذلك خلال أجل لا يتجاوز العشرين (20) يوما من تاريخ بلوغ قرار الرفض الصادر عن رئيس الهيكل إليه أو من تاريخ الرفض الضمني.</w:t>
      </w:r>
    </w:p>
    <w:p w:rsidR="00065663" w:rsidRPr="00215156" w:rsidRDefault="00065663" w:rsidP="002C074A">
      <w:pPr>
        <w:pStyle w:val="Paragraphedeliste"/>
        <w:numPr>
          <w:ilvl w:val="0"/>
          <w:numId w:val="5"/>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lastRenderedPageBreak/>
        <w:t>وتبتّ</w:t>
      </w:r>
      <w:proofErr w:type="gramEnd"/>
      <w:r w:rsidRPr="00215156">
        <w:rPr>
          <w:rFonts w:ascii="Times New Roman" w:eastAsia="Times New Roman" w:hAnsi="Times New Roman" w:cs="Times New Roman"/>
          <w:color w:val="333333"/>
          <w:sz w:val="28"/>
          <w:szCs w:val="28"/>
          <w:rtl/>
          <w:lang w:eastAsia="fr-FR"/>
        </w:rPr>
        <w:t xml:space="preserve"> الهيئة في الدعوى في أقرب الآجال الممكنة على أن لا يتجاوز ذلك أجلا أقصاه خمسة وأربعون (45) يوما من تاريخ توصّلها بمطلب الطعن ويكون قرارها ملزما للهيكل المعني.</w:t>
      </w:r>
    </w:p>
    <w:p w:rsidR="00065663" w:rsidRPr="00215156" w:rsidRDefault="00065663" w:rsidP="002C074A">
      <w:pPr>
        <w:pStyle w:val="Paragraphedeliste"/>
        <w:numPr>
          <w:ilvl w:val="0"/>
          <w:numId w:val="5"/>
        </w:num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يمكن لطالب النفاذ أو للهيكل المعني الطعن في قرار هيئة النفاذ إلى المعلومة استئنافيا أمام المحكمة الإدارية، في أجل الثلاثين (30) يوما من تاريخ الإعلام به.</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w:t>
      </w:r>
      <w:r w:rsidRPr="00215156">
        <w:rPr>
          <w:rFonts w:ascii="Times New Roman" w:eastAsia="Times New Roman" w:hAnsi="Times New Roman" w:cs="Times New Roman"/>
          <w:b/>
          <w:bCs/>
          <w:color w:val="333333"/>
          <w:sz w:val="28"/>
          <w:szCs w:val="28"/>
          <w:u w:val="single"/>
          <w:rtl/>
          <w:lang w:eastAsia="fr-FR"/>
        </w:rPr>
        <w:t>بالنسبة إلى استثناءات حق النفاذ إلى المعلومة</w:t>
      </w:r>
      <w:r w:rsidRPr="00215156">
        <w:rPr>
          <w:rFonts w:ascii="Times New Roman" w:eastAsia="Times New Roman" w:hAnsi="Times New Roman" w:cs="Times New Roman"/>
          <w:b/>
          <w:bCs/>
          <w:color w:val="333333"/>
          <w:sz w:val="28"/>
          <w:szCs w:val="28"/>
          <w:rtl/>
          <w:lang w:eastAsia="fr-FR"/>
        </w:rPr>
        <w:t> :</w:t>
      </w:r>
    </w:p>
    <w:p w:rsidR="00065663" w:rsidRPr="00215156" w:rsidRDefault="00065663" w:rsidP="002C074A">
      <w:pPr>
        <w:pStyle w:val="Paragraphedeliste"/>
        <w:numPr>
          <w:ilvl w:val="0"/>
          <w:numId w:val="7"/>
        </w:num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لا يمكن للهيكل المعني أن يرفض طلب النفاذ إلى المعلومة إلا إذا كان ذلك يؤدّي إلى إلحاق ضرر بالأمن العام أو بالدفاع الوطني أو بالعلاقات الدولية فيما يتصل بهما أو بحقوق الغير في حماية حياته الخاصة ومعطياته الشخصية وملكيته الفكرية.</w:t>
      </w:r>
    </w:p>
    <w:p w:rsidR="00065663" w:rsidRPr="00215156" w:rsidRDefault="00065663" w:rsidP="002C074A">
      <w:pPr>
        <w:pStyle w:val="Paragraphedeliste"/>
        <w:numPr>
          <w:ilvl w:val="0"/>
          <w:numId w:val="7"/>
        </w:num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لا تعتبر هذه المجالات استثناءات مطلقة لحق النفاذ إلى المعلومة وتكون خاضعة لتقدير الضرر من النفاذ على أن يكون الضرر جسيما سواء كان آنيا أو لاحقا كما تكون خاضعة لتقدير المصلحة العامة من تقديم المعلومة أو من عدم تقديمها بالنسبة لكل طلب ويراعى التناسب بين المصالح المراد حمايتها والغاية من مطلب النفاذ.</w:t>
      </w:r>
    </w:p>
    <w:p w:rsidR="00065663" w:rsidRPr="00215156" w:rsidRDefault="00065663" w:rsidP="002C074A">
      <w:pPr>
        <w:pStyle w:val="Paragraphedeliste"/>
        <w:numPr>
          <w:ilvl w:val="0"/>
          <w:numId w:val="7"/>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t>في</w:t>
      </w:r>
      <w:proofErr w:type="gramEnd"/>
      <w:r w:rsidRPr="00215156">
        <w:rPr>
          <w:rFonts w:ascii="Times New Roman" w:eastAsia="Times New Roman" w:hAnsi="Times New Roman" w:cs="Times New Roman"/>
          <w:color w:val="333333"/>
          <w:sz w:val="28"/>
          <w:szCs w:val="28"/>
          <w:rtl/>
          <w:lang w:eastAsia="fr-FR"/>
        </w:rPr>
        <w:t xml:space="preserve"> صورة الرفض يتمّ إعلام طالب النفاذ بذلك بجواب معلّل، وينتهي مفعول الرفض بزوال أسبابه المبينة في الجواب على مطلب النفاذ.</w:t>
      </w:r>
    </w:p>
    <w:p w:rsidR="00065663" w:rsidRPr="00215156" w:rsidRDefault="00065663" w:rsidP="00215156">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w:t>
      </w:r>
      <w:r w:rsidRPr="00215156">
        <w:rPr>
          <w:rFonts w:ascii="Times New Roman" w:eastAsia="Times New Roman" w:hAnsi="Times New Roman" w:cs="Times New Roman"/>
          <w:b/>
          <w:bCs/>
          <w:color w:val="333333"/>
          <w:sz w:val="28"/>
          <w:szCs w:val="28"/>
          <w:rtl/>
          <w:lang w:eastAsia="fr-FR"/>
        </w:rPr>
        <w:t>- لا تنطبق هذه الاستثناءات :</w:t>
      </w:r>
    </w:p>
    <w:p w:rsidR="00065663" w:rsidRPr="00215156" w:rsidRDefault="00065663" w:rsidP="002C074A">
      <w:pPr>
        <w:pStyle w:val="Paragraphedeliste"/>
        <w:numPr>
          <w:ilvl w:val="0"/>
          <w:numId w:val="9"/>
        </w:num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على المعلومات الضرورية بغاية الكشف عن الانتهاكات الفادحة لحقوق الإنسان أو جرائم الحرب أو البحث فيها أو تتبّع مرتكبيها، ما لم يكن في ذلك مساس بالمصلحة العليا للدولة.</w:t>
      </w:r>
    </w:p>
    <w:p w:rsidR="00065663" w:rsidRPr="00215156" w:rsidRDefault="00065663" w:rsidP="002C074A">
      <w:pPr>
        <w:pStyle w:val="Paragraphedeliste"/>
        <w:numPr>
          <w:ilvl w:val="0"/>
          <w:numId w:val="9"/>
        </w:numPr>
        <w:bidi/>
        <w:spacing w:after="120" w:line="375" w:lineRule="atLeast"/>
        <w:jc w:val="both"/>
        <w:rPr>
          <w:rFonts w:ascii="Times New Roman" w:eastAsia="Times New Roman" w:hAnsi="Times New Roman" w:cs="Times New Roman"/>
          <w:color w:val="333333"/>
          <w:sz w:val="28"/>
          <w:szCs w:val="28"/>
          <w:rtl/>
          <w:lang w:eastAsia="fr-FR"/>
        </w:rPr>
      </w:pPr>
      <w:proofErr w:type="gramStart"/>
      <w:r w:rsidRPr="00215156">
        <w:rPr>
          <w:rFonts w:ascii="Times New Roman" w:eastAsia="Times New Roman" w:hAnsi="Times New Roman" w:cs="Times New Roman"/>
          <w:color w:val="333333"/>
          <w:sz w:val="28"/>
          <w:szCs w:val="28"/>
          <w:rtl/>
          <w:lang w:eastAsia="fr-FR"/>
        </w:rPr>
        <w:t>عند</w:t>
      </w:r>
      <w:proofErr w:type="gramEnd"/>
      <w:r w:rsidRPr="00215156">
        <w:rPr>
          <w:rFonts w:ascii="Times New Roman" w:eastAsia="Times New Roman" w:hAnsi="Times New Roman" w:cs="Times New Roman"/>
          <w:color w:val="333333"/>
          <w:sz w:val="28"/>
          <w:szCs w:val="28"/>
          <w:rtl/>
          <w:lang w:eastAsia="fr-FR"/>
        </w:rPr>
        <w:t xml:space="preserve"> وجوب تغليب المصلحة العامة على الضرر الذي يمكن أن يلحق المصلحة المزمع حمايتها لوجود تهديد خطير للصحة أو السلامة أو المحيط أو جراء حدوث فعل إجرامي.</w:t>
      </w:r>
    </w:p>
    <w:p w:rsidR="00065663" w:rsidRPr="00215156" w:rsidRDefault="00065663" w:rsidP="00065663">
      <w:pPr>
        <w:bidi/>
        <w:spacing w:after="120" w:line="375" w:lineRule="atLeast"/>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color w:val="333333"/>
          <w:sz w:val="28"/>
          <w:szCs w:val="28"/>
          <w:rtl/>
          <w:lang w:eastAsia="fr-FR"/>
        </w:rPr>
        <w:t> </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r w:rsidRPr="00215156">
        <w:rPr>
          <w:rFonts w:ascii="Times New Roman" w:eastAsia="Times New Roman" w:hAnsi="Times New Roman" w:cs="Times New Roman"/>
          <w:b/>
          <w:bCs/>
          <w:color w:val="333333"/>
          <w:sz w:val="28"/>
          <w:szCs w:val="28"/>
          <w:rtl/>
          <w:lang w:eastAsia="fr-FR"/>
        </w:rPr>
        <w:t xml:space="preserve">- </w:t>
      </w:r>
      <w:proofErr w:type="gramStart"/>
      <w:r w:rsidRPr="00215156">
        <w:rPr>
          <w:rFonts w:ascii="Times New Roman" w:eastAsia="Times New Roman" w:hAnsi="Times New Roman" w:cs="Times New Roman"/>
          <w:b/>
          <w:bCs/>
          <w:color w:val="333333"/>
          <w:sz w:val="28"/>
          <w:szCs w:val="28"/>
          <w:rtl/>
          <w:lang w:eastAsia="fr-FR"/>
        </w:rPr>
        <w:t>إذا</w:t>
      </w:r>
      <w:proofErr w:type="gramEnd"/>
      <w:r w:rsidRPr="00215156">
        <w:rPr>
          <w:rFonts w:ascii="Times New Roman" w:eastAsia="Times New Roman" w:hAnsi="Times New Roman" w:cs="Times New Roman"/>
          <w:b/>
          <w:bCs/>
          <w:color w:val="333333"/>
          <w:sz w:val="28"/>
          <w:szCs w:val="28"/>
          <w:rtl/>
          <w:lang w:eastAsia="fr-FR"/>
        </w:rPr>
        <w:t xml:space="preserve"> كانت المعلومة المطلوبة مشمولة جزئيّا باستثناء، فلا يمكن النفاذ إليها إلاّ بعد حجب الجزء المعني بالاستثناء متى كان ذلك ممكنا.</w:t>
      </w: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sz w:val="28"/>
          <w:szCs w:val="28"/>
          <w:rtl/>
          <w:lang w:eastAsia="fr-FR"/>
        </w:rPr>
      </w:pPr>
    </w:p>
    <w:p w:rsidR="00065663" w:rsidRPr="00215156" w:rsidRDefault="00065663" w:rsidP="00065663">
      <w:pPr>
        <w:shd w:val="clear" w:color="auto" w:fill="FBFBFB"/>
        <w:bidi/>
        <w:spacing w:after="120" w:line="240" w:lineRule="auto"/>
        <w:jc w:val="both"/>
        <w:rPr>
          <w:rFonts w:ascii="Times New Roman" w:eastAsia="Times New Roman" w:hAnsi="Times New Roman" w:cs="Times New Roman"/>
          <w:color w:val="333333"/>
          <w:lang w:eastAsia="fr-FR"/>
        </w:rPr>
      </w:pPr>
    </w:p>
    <w:p w:rsidR="0042782D" w:rsidRPr="003C5098" w:rsidRDefault="0042782D" w:rsidP="0042782D">
      <w:pPr>
        <w:bidi/>
        <w:jc w:val="center"/>
        <w:rPr>
          <w:rFonts w:ascii="Hacen Egypt" w:hAnsi="Hacen Egypt" w:cs="Hacen Egypt"/>
          <w:b/>
          <w:bCs/>
          <w:sz w:val="44"/>
          <w:szCs w:val="44"/>
          <w:rtl/>
          <w:lang w:eastAsia="ar-SA"/>
        </w:rPr>
      </w:pPr>
      <w:r>
        <w:rPr>
          <w:rFonts w:ascii="Hacen Egypt" w:hAnsi="Hacen Egypt" w:cs="Hacen Egypt" w:hint="cs"/>
          <w:b/>
          <w:bCs/>
          <w:sz w:val="44"/>
          <w:szCs w:val="44"/>
          <w:rtl/>
          <w:lang w:eastAsia="ar-SA"/>
        </w:rPr>
        <w:t xml:space="preserve">                                          </w:t>
      </w:r>
      <w:r>
        <w:rPr>
          <w:rFonts w:ascii="Hacen Egypt" w:hAnsi="Hacen Egypt" w:cs="Hacen Egypt"/>
          <w:b/>
          <w:bCs/>
          <w:sz w:val="44"/>
          <w:szCs w:val="44"/>
          <w:lang w:eastAsia="ar-SA"/>
        </w:rPr>
        <w:t xml:space="preserve">    </w:t>
      </w:r>
      <w:r>
        <w:rPr>
          <w:rFonts w:ascii="Hacen Egypt" w:hAnsi="Hacen Egypt" w:cs="Hacen Egypt" w:hint="cs"/>
          <w:b/>
          <w:bCs/>
          <w:sz w:val="44"/>
          <w:szCs w:val="44"/>
          <w:rtl/>
          <w:lang w:eastAsia="ar-SA"/>
        </w:rPr>
        <w:t xml:space="preserve">             </w:t>
      </w:r>
      <w:r w:rsidRPr="003C5098">
        <w:rPr>
          <w:rFonts w:ascii="Hacen Egypt" w:hAnsi="Hacen Egypt" w:cs="Hacen Egypt"/>
          <w:b/>
          <w:bCs/>
          <w:sz w:val="44"/>
          <w:szCs w:val="44"/>
          <w:rtl/>
          <w:lang w:eastAsia="ar-SA"/>
        </w:rPr>
        <w:t>رئيس بلدية الزريبة</w:t>
      </w:r>
    </w:p>
    <w:p w:rsidR="0042782D" w:rsidRPr="003C5098" w:rsidRDefault="0042782D" w:rsidP="0042782D">
      <w:pPr>
        <w:bidi/>
        <w:jc w:val="center"/>
        <w:rPr>
          <w:rFonts w:ascii="Hacen Egypt" w:hAnsi="Hacen Egypt" w:cs="Hacen Egypt"/>
          <w:b/>
          <w:bCs/>
          <w:sz w:val="44"/>
          <w:szCs w:val="44"/>
          <w:rtl/>
          <w:lang w:eastAsia="ar-SA"/>
        </w:rPr>
      </w:pPr>
      <w:r>
        <w:rPr>
          <w:rFonts w:ascii="Hacen Egypt" w:hAnsi="Hacen Egypt" w:cs="Hacen Egypt" w:hint="cs"/>
          <w:b/>
          <w:bCs/>
          <w:sz w:val="44"/>
          <w:szCs w:val="44"/>
          <w:rtl/>
          <w:lang w:eastAsia="ar-SA"/>
        </w:rPr>
        <w:t xml:space="preserve">                                                                 </w:t>
      </w:r>
      <w:r w:rsidRPr="003C5098">
        <w:rPr>
          <w:rFonts w:ascii="Hacen Egypt" w:hAnsi="Hacen Egypt" w:cs="Hacen Egypt"/>
          <w:b/>
          <w:bCs/>
          <w:sz w:val="44"/>
          <w:szCs w:val="44"/>
          <w:rtl/>
          <w:lang w:eastAsia="ar-SA"/>
        </w:rPr>
        <w:t xml:space="preserve">إبراهيم بن </w:t>
      </w:r>
      <w:proofErr w:type="gramStart"/>
      <w:r w:rsidRPr="003C5098">
        <w:rPr>
          <w:rFonts w:ascii="Hacen Egypt" w:hAnsi="Hacen Egypt" w:cs="Hacen Egypt"/>
          <w:b/>
          <w:bCs/>
          <w:sz w:val="44"/>
          <w:szCs w:val="44"/>
          <w:rtl/>
          <w:lang w:eastAsia="ar-SA"/>
        </w:rPr>
        <w:t>عمر</w:t>
      </w:r>
      <w:proofErr w:type="gramEnd"/>
    </w:p>
    <w:p w:rsidR="00A231D6" w:rsidRPr="00215156" w:rsidRDefault="00A231D6" w:rsidP="00065663">
      <w:pPr>
        <w:bidi/>
        <w:ind w:left="1"/>
        <w:jc w:val="both"/>
        <w:rPr>
          <w:sz w:val="24"/>
          <w:szCs w:val="24"/>
          <w:rtl/>
        </w:rPr>
      </w:pPr>
    </w:p>
    <w:p w:rsidR="00A231D6" w:rsidRPr="00215156" w:rsidRDefault="00A231D6" w:rsidP="00065663">
      <w:pPr>
        <w:bidi/>
        <w:ind w:left="1"/>
        <w:jc w:val="both"/>
        <w:rPr>
          <w:sz w:val="24"/>
          <w:szCs w:val="24"/>
          <w:lang w:bidi="ar-TN"/>
        </w:rPr>
      </w:pPr>
    </w:p>
    <w:sectPr w:rsidR="00A231D6" w:rsidRPr="00215156" w:rsidSect="0042782D">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e_AlBattar">
    <w:panose1 w:val="02060603050605020204"/>
    <w:charset w:val="00"/>
    <w:family w:val="roman"/>
    <w:pitch w:val="variable"/>
    <w:sig w:usb0="800020AF" w:usb1="C000204A" w:usb2="00000008" w:usb3="00000000" w:csb0="00000041" w:csb1="00000000"/>
  </w:font>
  <w:font w:name="AdvertisingExtraBold">
    <w:panose1 w:val="00000000000000000000"/>
    <w:charset w:val="B2"/>
    <w:family w:val="auto"/>
    <w:pitch w:val="variable"/>
    <w:sig w:usb0="00002001" w:usb1="00000000" w:usb2="00000000" w:usb3="00000000" w:csb0="00000040" w:csb1="00000000"/>
  </w:font>
  <w:font w:name="Hacen Egypt">
    <w:panose1 w:val="02000000000000000000"/>
    <w:charset w:val="00"/>
    <w:family w:val="auto"/>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A3B31"/>
    <w:multiLevelType w:val="hybridMultilevel"/>
    <w:tmpl w:val="952C4926"/>
    <w:lvl w:ilvl="0" w:tplc="2FE613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6C5EBB"/>
    <w:multiLevelType w:val="hybridMultilevel"/>
    <w:tmpl w:val="F1609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EF74D5"/>
    <w:multiLevelType w:val="hybridMultilevel"/>
    <w:tmpl w:val="C7EC52C2"/>
    <w:lvl w:ilvl="0" w:tplc="CD26A4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275E4D"/>
    <w:multiLevelType w:val="hybridMultilevel"/>
    <w:tmpl w:val="D168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3C6519"/>
    <w:multiLevelType w:val="hybridMultilevel"/>
    <w:tmpl w:val="FC7A8194"/>
    <w:lvl w:ilvl="0" w:tplc="38CC40A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9EA16E8"/>
    <w:multiLevelType w:val="hybridMultilevel"/>
    <w:tmpl w:val="96001956"/>
    <w:lvl w:ilvl="0" w:tplc="F198FE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F33D69"/>
    <w:multiLevelType w:val="hybridMultilevel"/>
    <w:tmpl w:val="6DB885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3C159F"/>
    <w:multiLevelType w:val="hybridMultilevel"/>
    <w:tmpl w:val="668EBACA"/>
    <w:lvl w:ilvl="0" w:tplc="4650DA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755926"/>
    <w:multiLevelType w:val="hybridMultilevel"/>
    <w:tmpl w:val="8CBC8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D6"/>
    <w:rsid w:val="00065663"/>
    <w:rsid w:val="00213DF3"/>
    <w:rsid w:val="00215156"/>
    <w:rsid w:val="002C074A"/>
    <w:rsid w:val="0042782D"/>
    <w:rsid w:val="006B74ED"/>
    <w:rsid w:val="00A231D6"/>
    <w:rsid w:val="00CB28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65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231D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06566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6566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65663"/>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0656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065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31D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231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231D6"/>
    <w:rPr>
      <w:b/>
      <w:bCs/>
    </w:rPr>
  </w:style>
  <w:style w:type="paragraph" w:styleId="Sansinterligne">
    <w:name w:val="No Spacing"/>
    <w:uiPriority w:val="1"/>
    <w:qFormat/>
    <w:rsid w:val="00065663"/>
    <w:pPr>
      <w:spacing w:after="0" w:line="240" w:lineRule="auto"/>
    </w:pPr>
  </w:style>
  <w:style w:type="character" w:customStyle="1" w:styleId="Titre1Car">
    <w:name w:val="Titre 1 Car"/>
    <w:basedOn w:val="Policepardfaut"/>
    <w:link w:val="Titre1"/>
    <w:uiPriority w:val="9"/>
    <w:rsid w:val="0006566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06566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06566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6566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06566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065663"/>
    <w:rPr>
      <w:rFonts w:asciiTheme="majorHAnsi" w:eastAsiaTheme="majorEastAsia" w:hAnsiTheme="majorHAnsi" w:cstheme="majorBidi"/>
      <w:i/>
      <w:iCs/>
      <w:color w:val="404040" w:themeColor="text1" w:themeTint="BF"/>
    </w:rPr>
  </w:style>
  <w:style w:type="paragraph" w:styleId="Paragraphedeliste">
    <w:name w:val="List Paragraph"/>
    <w:basedOn w:val="Normal"/>
    <w:uiPriority w:val="34"/>
    <w:qFormat/>
    <w:rsid w:val="002C0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656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A231D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06566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6566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65663"/>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0656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06566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231D6"/>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A231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231D6"/>
    <w:rPr>
      <w:b/>
      <w:bCs/>
    </w:rPr>
  </w:style>
  <w:style w:type="paragraph" w:styleId="Sansinterligne">
    <w:name w:val="No Spacing"/>
    <w:uiPriority w:val="1"/>
    <w:qFormat/>
    <w:rsid w:val="00065663"/>
    <w:pPr>
      <w:spacing w:after="0" w:line="240" w:lineRule="auto"/>
    </w:pPr>
  </w:style>
  <w:style w:type="character" w:customStyle="1" w:styleId="Titre1Car">
    <w:name w:val="Titre 1 Car"/>
    <w:basedOn w:val="Policepardfaut"/>
    <w:link w:val="Titre1"/>
    <w:uiPriority w:val="9"/>
    <w:rsid w:val="0006566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06566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06566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6566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06566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065663"/>
    <w:rPr>
      <w:rFonts w:asciiTheme="majorHAnsi" w:eastAsiaTheme="majorEastAsia" w:hAnsiTheme="majorHAnsi" w:cstheme="majorBidi"/>
      <w:i/>
      <w:iCs/>
      <w:color w:val="404040" w:themeColor="text1" w:themeTint="BF"/>
    </w:rPr>
  </w:style>
  <w:style w:type="paragraph" w:styleId="Paragraphedeliste">
    <w:name w:val="List Paragraph"/>
    <w:basedOn w:val="Normal"/>
    <w:uiPriority w:val="34"/>
    <w:qFormat/>
    <w:rsid w:val="002C0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0028">
      <w:bodyDiv w:val="1"/>
      <w:marLeft w:val="0"/>
      <w:marRight w:val="0"/>
      <w:marTop w:val="0"/>
      <w:marBottom w:val="0"/>
      <w:divBdr>
        <w:top w:val="none" w:sz="0" w:space="0" w:color="auto"/>
        <w:left w:val="none" w:sz="0" w:space="0" w:color="auto"/>
        <w:bottom w:val="none" w:sz="0" w:space="0" w:color="auto"/>
        <w:right w:val="none" w:sz="0" w:space="0" w:color="auto"/>
      </w:divBdr>
    </w:div>
    <w:div w:id="890460963">
      <w:bodyDiv w:val="1"/>
      <w:marLeft w:val="0"/>
      <w:marRight w:val="0"/>
      <w:marTop w:val="0"/>
      <w:marBottom w:val="0"/>
      <w:divBdr>
        <w:top w:val="none" w:sz="0" w:space="0" w:color="auto"/>
        <w:left w:val="none" w:sz="0" w:space="0" w:color="auto"/>
        <w:bottom w:val="none" w:sz="0" w:space="0" w:color="auto"/>
        <w:right w:val="none" w:sz="0" w:space="0" w:color="auto"/>
      </w:divBdr>
    </w:div>
    <w:div w:id="19572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c:creator>
  <cp:lastModifiedBy>Med</cp:lastModifiedBy>
  <cp:revision>3</cp:revision>
  <cp:lastPrinted>2019-07-26T09:00:00Z</cp:lastPrinted>
  <dcterms:created xsi:type="dcterms:W3CDTF">2019-09-27T09:12:00Z</dcterms:created>
  <dcterms:modified xsi:type="dcterms:W3CDTF">2019-09-27T09:13:00Z</dcterms:modified>
</cp:coreProperties>
</file>